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</w:pPr>
      <w:r>
        <w:rPr>
          <w:b w:val="false"/>
          <w:i/>
          <w:color w:val="222222"/>
          <w:spacing w:val="0"/>
        </w:rPr>
        <w:t>The intake of CVRR is based on the needs of the individual foster since animals age housed in homes rather than shelters. it ranges from healthy dogs/cats of any breed and age to some with medical special needs (treatable such as a broken leg or manageable like diabetes). We do occasionally take in some dogs with mild fear aggression, food aggression etc who can be easily rehabilitated and screened for a suitable home. Dogs or cats who require extra attention/training are taken in, again, based solely upon if a properly trained volunteer is available and willing. </w:t>
      </w:r>
      <w:r>
        <w:rPr/>
        <w:t xml:space="preserve"> </w:t>
      </w:r>
      <w:r/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Ari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Application>LibreOffice/4.3.5.2$Windows_x86 LibreOffice_project/3a87456aaa6a95c63eea1c1b3201acedf0751bd5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2020-02-12T18:16:44Z</dcterms:created>
  <dc:language>en-US</dc:language>
  <dcterms:modified xsi:type="dcterms:W3CDTF">2020-02-12T18:17:32Z</dcterms:modified>
  <cp:revision>1</cp:revision>
</cp:coreProperties>
</file>