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6"/>
          <w:szCs w:val="36"/>
          <w:lang w:val="en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  <w:lang w:val="en"/>
        </w:rPr>
        <w:t>GRAYSON COUNTY SHERIFF'S OFFICE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6"/>
          <w:szCs w:val="36"/>
          <w:lang w:val="en"/>
        </w:rPr>
      </w:pPr>
      <w:r>
        <w:rPr>
          <w:rFonts w:ascii="Calibri" w:hAnsi="Calibri" w:cs="Calibri"/>
          <w:b/>
          <w:bCs/>
          <w:sz w:val="36"/>
          <w:szCs w:val="36"/>
          <w:lang w:val="en"/>
        </w:rPr>
        <w:t>ANIMAL CONTROL DIVISION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6"/>
          <w:szCs w:val="36"/>
          <w:lang w:val="en"/>
        </w:rPr>
      </w:pPr>
      <w:r>
        <w:rPr>
          <w:rFonts w:ascii="Calibri" w:hAnsi="Calibri" w:cs="Calibri"/>
          <w:b/>
          <w:bCs/>
          <w:sz w:val="36"/>
          <w:szCs w:val="36"/>
          <w:lang w:val="en"/>
        </w:rPr>
        <w:t>POLICY AND PROCEDURE 2.1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t>Intake of Animals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u w:val="single"/>
          <w:lang w:val="en"/>
        </w:rPr>
      </w:pPr>
      <w:r>
        <w:rPr>
          <w:rFonts w:ascii="Calibri" w:hAnsi="Calibri" w:cs="Calibri"/>
          <w:sz w:val="32"/>
          <w:szCs w:val="32"/>
          <w:u w:val="single"/>
          <w:lang w:val="en"/>
        </w:rPr>
        <w:t>The Following Procedures Will take Place for All Animals Brought into The Animal Shelter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1) </w:t>
      </w:r>
      <w:r>
        <w:rPr>
          <w:rFonts w:ascii="Calibri" w:hAnsi="Calibri" w:cs="Calibri"/>
          <w:sz w:val="32"/>
          <w:szCs w:val="32"/>
          <w:lang w:val="en"/>
        </w:rPr>
        <w:t>A Pound Record Form Will Be Completed.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2) The Animal Shall Be Checked for Any Identification to Include Collar, Tags, Tattoos, And 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Microchips.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3) The Animal Will Be Evaluated for Any Potential Health Problems.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4) The Animal Will Be Put in An Appropriate Holding Area and Will Be Fed and Watered</w:t>
      </w:r>
      <w:r>
        <w:rPr>
          <w:rFonts w:ascii="Calibri" w:hAnsi="Calibri" w:cs="Calibri"/>
          <w:sz w:val="32"/>
          <w:szCs w:val="32"/>
          <w:lang w:val="en"/>
        </w:rPr>
        <w:t>.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5) Animal Control Officers Will Make Sure That If an Animal Is Not Adoptable (Aggressive, Dangerous) It Will Be Notated on The Pound Form.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6) If Owner Released, the Release Form Will Be Completed and Signed by The Owner.</w:t>
      </w:r>
    </w:p>
    <w:p w:rsidR="00000000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lastRenderedPageBreak/>
        <w:t>7) Animals Deemed Aggressive or D</w:t>
      </w:r>
      <w:r>
        <w:rPr>
          <w:rFonts w:ascii="Calibri" w:hAnsi="Calibri" w:cs="Calibri"/>
          <w:sz w:val="32"/>
          <w:szCs w:val="32"/>
          <w:lang w:val="en"/>
        </w:rPr>
        <w:t>angerous Will Be Placed in A Secluded Area.</w:t>
      </w:r>
    </w:p>
    <w:p w:rsidR="00452995" w:rsidRDefault="0045299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8</w:t>
      </w:r>
      <w:r>
        <w:rPr>
          <w:rFonts w:ascii="Calibri" w:hAnsi="Calibri" w:cs="Calibri"/>
          <w:sz w:val="24"/>
          <w:szCs w:val="24"/>
          <w:lang w:val="en"/>
        </w:rPr>
        <w:t xml:space="preserve">) </w:t>
      </w:r>
      <w:r>
        <w:rPr>
          <w:rFonts w:ascii="Calibri" w:hAnsi="Calibri" w:cs="Calibri"/>
          <w:b/>
          <w:bCs/>
          <w:sz w:val="32"/>
          <w:szCs w:val="32"/>
          <w:lang w:val="en"/>
        </w:rPr>
        <w:t>Grayson County Animal Control does NOT remove nor deal with cats. Options will be given</w:t>
      </w:r>
    </w:p>
    <w:sectPr w:rsidR="0045299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8D"/>
    <w:rsid w:val="00452995"/>
    <w:rsid w:val="00F0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4EC776F-595A-4C90-9CCC-8DD6B67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GCSO-Austin Haga</dc:creator>
  <cp:keywords/>
  <dc:description/>
  <cp:lastModifiedBy>GCSO-Austin Haga</cp:lastModifiedBy>
  <cp:revision>2</cp:revision>
  <dcterms:created xsi:type="dcterms:W3CDTF">2025-01-30T15:41:00Z</dcterms:created>
  <dcterms:modified xsi:type="dcterms:W3CDTF">2025-01-30T15:41:00Z</dcterms:modified>
</cp:coreProperties>
</file>