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Effective 11-27-23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Reba’s Animal Rescue Intake Policy is as follows: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Transfer animals from the local municipal shelters in the Greater Hampton Roads region, and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Transfer animals from other Virginia and Northeast North Carolina municipal shelters, and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On a case-by-case basis, transfer animals from local private shelters in the Greater Hampton Roads region, and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On a case-by-case basis, transfer animals from other Virginia and Northeast North Carolina private shelters, and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On a case-by-case basis transfer animals from Virginia based private 501(c)(3) rescue organizations, and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On a case-by-case basis accept owner surrendered animals from members of the Greater Hampton Roads region and surrounding counties.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Charlotte County Animal Control- 222 Law Lane, Charlotte Court House,VA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Chesapeake Animal Services- 2100 S Military Highway, Chesapeake,VA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Currituck Animal Services and Control- 140 Aviation Pkwy, Barco,NC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Humane Society of Amherst County Adoption Center-  318 Shelter Lane, Amherst,VA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Island Dog Rescue- 400 Pillow Dr, Virginia Beach,VA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Lee County Animal Control- P.O. Box 36, Jonesville,VA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Norfolk Animal Care and Adoption Center- 5585 Sabre Rd, Norfolk,VA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Norfolk SPCA- 916 Ballentine Boulevard, Norfolk,VA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PETA- 501 Front St, Norfolk,VA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Regional Animal Shelter  20201 King William Rd, King William,VA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Virginia Beach Animal Care and Adoption Center- 341 S Birdneck Rd, Virginia Beach,VA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WCWvNpAg/JrQHusOm5tHz1icw==">CgMxLjA4AHIhMXpGRkFuVEhMMlI1X0VXbXF3OTRIOXB5a1VXS05DQlIt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2024-01-29T20:40:00Z</dcterms:created>
  <dc:creator>Kimberly Sherlaw</dc:creator>
</cp:coreProperties>
</file>