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32"/>
          <w:szCs w:val="3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32"/>
          <w:szCs w:val="32"/>
          <w:rtl w:val="0"/>
        </w:rPr>
        <w:t xml:space="preserve">Dancers Bridge Dog Rescue, Inc. Dog Intake Policy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Bookman Old Style" w:cs="Bookman Old Style" w:eastAsia="Bookman Old Style" w:hAnsi="Bookman Old Style"/>
          <w:b w:val="1"/>
          <w:bCs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1) Purpose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To provide a consistent, humane, and transparent process for evaluating and accepting dogs into the rescue, balancing the organization’s mission, available resources (especially foster capacity), and the behavioral and medical needs of each dog.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Bookman Old Style" w:cs="Bookman Old Style" w:eastAsia="Bookman Old Style" w:hAnsi="Bookman Old Style"/>
          <w:b w:val="1"/>
          <w:bCs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2) Scope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This policy applies to all intake requests originating from: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Public Animal Control/Shelters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Other Nonprofit Rescues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Owners (Owner Surrenders)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Bookman Old Style" w:cs="Bookman Old Style" w:eastAsia="Bookman Old Style" w:hAnsi="Bookman Old Style"/>
          <w:b w:val="1"/>
          <w:bCs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3) Guiding Principles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Welfare First: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Prioritize the best interests of each dog and the safety of foster families, the public, and other animals.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Case-by-Case Decisions: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Acceptance is not guaranteed; each request is evaluated individually.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Capacity-Informed Intake: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We accept dogs only when appropriate foster space and care resources are available.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Medical/Behavior-Informed: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Behavioral risk and medical needs must be manageable within the rescue’s resources.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Focus Population: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Primarily dogs under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25 lbs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; dogs slightly larger may be accepted based on circumstances and foster availability.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No Age Requirement: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Puppies, adults, and seniors may be considered, with careful assessment of medical needs and the rescue’s ability to meet them.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Equity &amp; Non-Discrimination: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No breed, color, or origin discrimination; decisions are based on safety, welfare, and capacity.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Transparency &amp; Documentation: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Clear records, communication, and follow-through with all stakeholders.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Bookman Old Style" w:cs="Bookman Old Style" w:eastAsia="Bookman Old Style" w:hAnsi="Bookman Old Style"/>
          <w:b w:val="1"/>
          <w:bCs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4) Eligibility &amp; Prioritization Criteria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4.1 Core Eligibility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Weight: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Priority to dogs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≤25 lbs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; exceptions considered if a suitable foster is confirmed.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Behavior: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Dogs with manageable behavior profiles (e.g., fear, mild resource guarding, kennel stress) are prioritized if a behavior-informed foster is available.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Medical: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Dogs with treatable/managed conditions may be accepted when the rescue can provide appropriate veterinary care and funding oversight.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4.2 Prioritization (examples)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Urgency: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Shelter euthanasia risk, medical urgency that is treatable, pregnant/nursing dogs, cruelty/neglect cases (if manageable).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Fit with Available Foster: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Dogs whose needs match an approved and ready foster’s skills and home setup.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Resource Stewardship: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Dogs whose care plan aligns with current budget and vet capacity.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Public Safety: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Dogs with a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known serious bite history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or court-ordered restrictions require Board/Director-level review; may be declined if risk cannot be mitigated.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4.3 May Be Declined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Active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rabies quarantine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requirements that cannot be legally or safely met.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Dogs requiring specialized care beyond organizational capacity (e.g., intensive 24/7 medical, severe reactivity without a qualified behavior foster).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Inadequate documentation or legal ownership concerns (for owner surrenders).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Bookman Old Style" w:cs="Bookman Old Style" w:eastAsia="Bookman Old Style" w:hAnsi="Bookman Old Style"/>
          <w:b w:val="1"/>
          <w:bCs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5) Intake Sources &amp; Protocols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5.1 Public Animal Control/Shelters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Confirm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legal transfer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requirements, medical records, intake notes, and any behavior assessments.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Request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vaccination/deworming/parasite prevention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provided on site, and copies of all records.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Clarify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hold status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(stray hold completion, court holds) before transfer.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Arrange transport with appropriate containment, PPE (if infectious disease suspected), and transfer paperwork.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5.2 Other Nonprofit Rescues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Confirm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non-duplication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(dog not already placed elsewhere), health/behavior information, and reason for transfer.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Obtain medical and behavior records, microchip information, and any training plans in progress.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5.3 Owner Surrenders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Require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proof of ownership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(e.g., vet records, microchip registration) and ID.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Collect all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medical records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vaccination history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, medications, and behavior notes/videos if available.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Sign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Owner Surrender Form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transferring ownership to the rescue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Bookman Old Style" w:cs="Bookman Old Style" w:eastAsia="Bookman Old Style" w:hAnsi="Bookman Old Style"/>
          <w:b w:val="1"/>
          <w:bCs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6) Intake Decision Process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line="240" w:lineRule="auto"/>
        <w:ind w:left="720" w:hanging="360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Initial Screening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Review request, verify source, gather complete records, and confirm legal transfer eligibility.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line="240" w:lineRule="auto"/>
        <w:ind w:left="720" w:hanging="360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Needs &amp; Risk Assessment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Behavior: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Bite history (context, severity), resource guarding, prey drive, reactivity, fear/shutdown, child/pet compatibility.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Medical: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Vaccination status, spay/neuter, infectious disease risk, chronic conditions, meds, pain management, mobility, special equipment.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line="240" w:lineRule="auto"/>
        <w:ind w:left="720" w:hanging="360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Foster Capacity Check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numPr>
          <w:ilvl w:val="1"/>
          <w:numId w:val="9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Match to available foster’s skills, home setup (pets/children), and willingness for specific needs.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line="240" w:lineRule="auto"/>
        <w:ind w:left="720" w:hanging="360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Resource Check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Vet access, budget, transport, supplies, training support, insurance constraints.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line="240" w:lineRule="auto"/>
        <w:ind w:left="720" w:hanging="360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Decision &amp; Documentation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Approve, Waitlist, or Decline.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Communicate decision with expected timeline and next steps.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Bookman Old Style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